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786" w:rsidRDefault="002A72A1">
      <w:r w:rsidRPr="002A72A1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DC" ShapeID="_x0000_i1025" DrawAspect="Content" ObjectID="_1712575437" r:id="rId5"/>
        </w:object>
      </w:r>
    </w:p>
    <w:p w:rsidR="002A72A1" w:rsidRDefault="002A72A1"/>
    <w:p w:rsidR="002A72A1" w:rsidRDefault="002A72A1"/>
    <w:p w:rsidR="002A72A1" w:rsidRDefault="002A72A1"/>
    <w:p w:rsidR="002A72A1" w:rsidRDefault="002A72A1"/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2A72A1" w:rsidRDefault="002A72A1" w:rsidP="002A72A1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принцип </w:t>
      </w:r>
      <w:r>
        <w:rPr>
          <w:i/>
          <w:iCs/>
          <w:sz w:val="28"/>
          <w:szCs w:val="28"/>
        </w:rPr>
        <w:t xml:space="preserve">легитимности </w:t>
      </w:r>
      <w:r>
        <w:rPr>
          <w:sz w:val="28"/>
          <w:szCs w:val="28"/>
        </w:rPr>
        <w:t xml:space="preserve">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2A72A1" w:rsidRDefault="002A72A1" w:rsidP="002A72A1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принцип </w:t>
      </w:r>
      <w:r>
        <w:rPr>
          <w:i/>
          <w:iCs/>
          <w:sz w:val="28"/>
          <w:szCs w:val="28"/>
        </w:rPr>
        <w:t xml:space="preserve">обеспечения суверенных прав личности </w:t>
      </w:r>
      <w:r>
        <w:rPr>
          <w:sz w:val="28"/>
          <w:szCs w:val="28"/>
        </w:rPr>
        <w:t xml:space="preserve">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2A72A1" w:rsidRDefault="002A72A1" w:rsidP="002A72A1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принцип </w:t>
      </w:r>
      <w:r>
        <w:rPr>
          <w:i/>
          <w:iCs/>
          <w:sz w:val="28"/>
          <w:szCs w:val="28"/>
        </w:rPr>
        <w:t xml:space="preserve">добровольности, свободы выбора, учета многофакторности </w:t>
      </w:r>
      <w:r>
        <w:rPr>
          <w:sz w:val="28"/>
          <w:szCs w:val="28"/>
        </w:rPr>
        <w:t xml:space="preserve">в определении и совместной деятельности наставника и наставляемого; </w:t>
      </w:r>
    </w:p>
    <w:p w:rsidR="002A72A1" w:rsidRDefault="002A72A1" w:rsidP="002A72A1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принцип </w:t>
      </w:r>
      <w:proofErr w:type="spellStart"/>
      <w:r>
        <w:rPr>
          <w:i/>
          <w:iCs/>
          <w:sz w:val="28"/>
          <w:szCs w:val="28"/>
        </w:rPr>
        <w:t>аксиологичности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2A72A1" w:rsidRDefault="002A72A1" w:rsidP="002A72A1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принцип </w:t>
      </w:r>
      <w:r>
        <w:rPr>
          <w:i/>
          <w:iCs/>
          <w:sz w:val="28"/>
          <w:szCs w:val="28"/>
        </w:rPr>
        <w:t xml:space="preserve">личной ответственности </w:t>
      </w:r>
      <w:r>
        <w:rPr>
          <w:sz w:val="28"/>
          <w:szCs w:val="28"/>
        </w:rPr>
        <w:t xml:space="preserve">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2A72A1" w:rsidRDefault="002A72A1" w:rsidP="002A72A1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принцип </w:t>
      </w:r>
      <w:r>
        <w:rPr>
          <w:i/>
          <w:iCs/>
          <w:sz w:val="28"/>
          <w:szCs w:val="28"/>
        </w:rPr>
        <w:t xml:space="preserve">индивидуализации и персонализации </w:t>
      </w:r>
      <w:r>
        <w:rPr>
          <w:sz w:val="28"/>
          <w:szCs w:val="28"/>
        </w:rPr>
        <w:t xml:space="preserve">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принцип </w:t>
      </w:r>
      <w:r>
        <w:rPr>
          <w:i/>
          <w:iCs/>
          <w:sz w:val="28"/>
          <w:szCs w:val="28"/>
        </w:rPr>
        <w:t xml:space="preserve">равенства </w:t>
      </w:r>
      <w:r>
        <w:rPr>
          <w:sz w:val="28"/>
          <w:szCs w:val="28"/>
        </w:rPr>
        <w:t xml:space="preserve">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1.4. 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</w:p>
    <w:p w:rsidR="002A72A1" w:rsidRDefault="002A72A1" w:rsidP="002A72A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Цель и задачи системы наставничества. Формы наставничества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>
        <w:rPr>
          <w:i/>
          <w:iCs/>
          <w:sz w:val="28"/>
          <w:szCs w:val="28"/>
        </w:rPr>
        <w:t xml:space="preserve">Цель </w:t>
      </w:r>
      <w:r>
        <w:rPr>
          <w:sz w:val="28"/>
          <w:szCs w:val="28"/>
        </w:rPr>
        <w:t xml:space="preserve">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2.2. </w:t>
      </w:r>
      <w:r>
        <w:rPr>
          <w:i/>
          <w:iCs/>
          <w:sz w:val="28"/>
          <w:szCs w:val="28"/>
        </w:rPr>
        <w:t xml:space="preserve">Задачи </w:t>
      </w:r>
      <w:r>
        <w:rPr>
          <w:sz w:val="28"/>
          <w:szCs w:val="28"/>
        </w:rPr>
        <w:t xml:space="preserve">системы наставничества педагогических работников: 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  <w:r>
        <w:rPr>
          <w:sz w:val="28"/>
          <w:szCs w:val="28"/>
        </w:rPr>
        <w:t>-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содействовать увеличению числа закрепившихся в профессии педагогических кадров, в том числе молодых/начинающих педагогов;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  <w:r>
        <w:rPr>
          <w:sz w:val="28"/>
          <w:szCs w:val="28"/>
        </w:rPr>
        <w:t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В образовательной организации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</w:t>
      </w:r>
      <w:r>
        <w:rPr>
          <w:sz w:val="28"/>
          <w:szCs w:val="28"/>
        </w:rPr>
        <w:lastRenderedPageBreak/>
        <w:t>молодой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</w:t>
      </w:r>
      <w:r w:rsidRPr="004D5C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ресурсов. Формы наставничества используются как в одном виде, так и в комплексе в зависимости от запланированных эффектов.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Виртуальное (дистанционное) наставничество </w:t>
      </w:r>
      <w:r>
        <w:rPr>
          <w:sz w:val="28"/>
          <w:szCs w:val="28"/>
        </w:rPr>
        <w:t xml:space="preserve">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Наставничество в группе </w:t>
      </w:r>
      <w:r>
        <w:rPr>
          <w:sz w:val="28"/>
          <w:szCs w:val="28"/>
        </w:rPr>
        <w:t xml:space="preserve">– форма наставничества, когда один наставник взаимодействует с группой наставляемых одновременно (от двух и более человек).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Краткосрочное или целеполагающее наставничество </w:t>
      </w:r>
      <w:r>
        <w:rPr>
          <w:sz w:val="28"/>
          <w:szCs w:val="28"/>
        </w:rPr>
        <w:t xml:space="preserve">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Реверсивное наставничество </w:t>
      </w:r>
      <w:r>
        <w:rPr>
          <w:sz w:val="28"/>
          <w:szCs w:val="28"/>
        </w:rPr>
        <w:t xml:space="preserve">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Ситуационное наставничество </w:t>
      </w:r>
      <w:r>
        <w:rPr>
          <w:sz w:val="28"/>
          <w:szCs w:val="28"/>
        </w:rPr>
        <w:t>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Скоростное наставничество </w:t>
      </w:r>
      <w:r>
        <w:rPr>
          <w:sz w:val="28"/>
          <w:szCs w:val="28"/>
        </w:rPr>
        <w:t xml:space="preserve">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Традиционная форма наставничества </w:t>
      </w:r>
      <w:r>
        <w:rPr>
          <w:i/>
          <w:iCs/>
          <w:sz w:val="28"/>
          <w:szCs w:val="28"/>
        </w:rPr>
        <w:t xml:space="preserve">(«один-на-один») </w:t>
      </w:r>
      <w:r>
        <w:rPr>
          <w:sz w:val="28"/>
          <w:szCs w:val="28"/>
        </w:rPr>
        <w:t xml:space="preserve">– взаимодействие между более опытным и начинающим работником в течение определенного </w:t>
      </w:r>
      <w:r>
        <w:rPr>
          <w:sz w:val="28"/>
          <w:szCs w:val="28"/>
        </w:rPr>
        <w:lastRenderedPageBreak/>
        <w:t xml:space="preserve">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Форма наставничества «учитель – учитель» </w:t>
      </w:r>
      <w:r>
        <w:rPr>
          <w:sz w:val="28"/>
          <w:szCs w:val="28"/>
        </w:rPr>
        <w:t xml:space="preserve">– способ реализации целевой модели наставничества через организацию взаимодействия наставнической пары «учитель-профессионал – учитель, вовлеченный в различные формы поддержки и сопровождения». 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  <w:r>
        <w:rPr>
          <w:b/>
          <w:bCs/>
          <w:i/>
          <w:iCs/>
          <w:sz w:val="28"/>
          <w:szCs w:val="28"/>
        </w:rPr>
        <w:t xml:space="preserve">Форма наставничества «руководитель образовательной организации – учитель» </w:t>
      </w:r>
      <w:r>
        <w:rPr>
          <w:sz w:val="28"/>
          <w:szCs w:val="28"/>
        </w:rPr>
        <w:t>способ реализации целевой модели наставничества через организацию взаимодействия наставнической пары «руководитель образовательной организации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  <w:r>
        <w:rPr>
          <w:sz w:val="28"/>
          <w:szCs w:val="28"/>
        </w:rPr>
        <w:t>–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 w:rsidR="002A72A1" w:rsidRDefault="002A72A1" w:rsidP="002A72A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Организация системы наставничества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образовательной организации».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Руководитель образовательной организации: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утверждает куратора реализации программ наставничества, способствует отбору наставников и наставляемых, а также утверждает их;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>
        <w:rPr>
          <w:sz w:val="28"/>
          <w:szCs w:val="28"/>
        </w:rPr>
        <w:t>вебинарах</w:t>
      </w:r>
      <w:proofErr w:type="spellEnd"/>
      <w:r>
        <w:rPr>
          <w:sz w:val="28"/>
          <w:szCs w:val="28"/>
        </w:rPr>
        <w:t>, семинарах по проблемам наставничеств</w:t>
      </w:r>
      <w:r w:rsidRPr="004D5C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Куратор реализации программ наставничества: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назначается руководителем образовательной организации из числа заместителей руководителя; 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  <w:r>
        <w:rPr>
          <w:sz w:val="28"/>
          <w:szCs w:val="28"/>
        </w:rPr>
        <w:t>- 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организует повышение уровня профессионального мастерства наставников, в том числе на </w:t>
      </w:r>
      <w:proofErr w:type="spellStart"/>
      <w:r>
        <w:rPr>
          <w:sz w:val="28"/>
          <w:szCs w:val="28"/>
        </w:rPr>
        <w:t>стажировочных</w:t>
      </w:r>
      <w:proofErr w:type="spellEnd"/>
      <w:r>
        <w:rPr>
          <w:sz w:val="28"/>
          <w:szCs w:val="28"/>
        </w:rPr>
        <w:t xml:space="preserve"> площадках и в базовых школах с привлечением наставников из других образовательных организаций;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курирует процесс разработки и реализации персонализированных программ наставничества;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организует совместно с руководителем образовательной организации</w:t>
      </w:r>
      <w:r w:rsidRPr="004D5C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мониторинг реализации системы наставничества педагогических работников в образовательной организации;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</w:t>
      </w:r>
      <w:proofErr w:type="spellStart"/>
      <w:r>
        <w:rPr>
          <w:sz w:val="28"/>
          <w:szCs w:val="28"/>
        </w:rPr>
        <w:t>реализациисистемы</w:t>
      </w:r>
      <w:proofErr w:type="spellEnd"/>
      <w:r>
        <w:rPr>
          <w:sz w:val="28"/>
          <w:szCs w:val="28"/>
        </w:rPr>
        <w:t xml:space="preserve"> наставничества, реализации персонализированных программ наставничества педагогических работников;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3.5. Методическое объединение наставников/комиссия/совет (при его наличии):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  <w:r>
        <w:rPr>
          <w:sz w:val="28"/>
          <w:szCs w:val="28"/>
        </w:rPr>
        <w:t>- 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принимает участие в разработке методического сопровождения разнообразных форм наставничества педагогических работников;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участвует в мониторинге реализации персонализированных программ наставничества педагогических работников;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является открытой площадкой для осуществления консультационных, согласовательных функций и функций медиации;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  <w:r>
        <w:rPr>
          <w:sz w:val="28"/>
          <w:szCs w:val="28"/>
        </w:rPr>
        <w:t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Права и обязанности наставника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Права наставника: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привлекать для оказания помощи наставляемому других педагогических работников образовательной организации с их согласия;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мониторинг деятельности наставляемого в форме личной проверки выполнения заданий.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4.2. Обязанности наставника: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  <w:r>
        <w:rPr>
          <w:sz w:val="28"/>
          <w:szCs w:val="28"/>
        </w:rPr>
        <w:t>- 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и на личном примере;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Права и обязанности наставляемого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Права наставляемого: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систематически повышать свой профессиональный уровень;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участвовать в составлении персонализированной программы наставничества педагогических работников;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обращаться к наставнику за помощью по вопросам, связанным с должностными обязанностями, профессиональной деятельностью;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обращаться к куратору и руководителю образовательной организации с ходатайством о замене наставника.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Обязанности наставляемого: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реализовывать мероприятия плана персонализированной программы наставничества в установленные сроки;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соблюдать правила внутреннего трудового распорядка образовательной организации;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выполнять указания и рекомендации наставника по исполнению должностных, профессиональных обязанностей; 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  <w:r>
        <w:rPr>
          <w:sz w:val="28"/>
          <w:szCs w:val="28"/>
        </w:rPr>
        <w:t>- 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устранять совместно с наставником допущенные ошибки и выявленные затруднения;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проявлять дисциплинированность, организованность и культуру в работе и учебе;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учиться у наставника передовым, инновационным методам и формам работы, правильно строить свои взаимоотношения с ним.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Формирование наставнических пар (групп) осуществляется по основным критериям: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профессиональный профиль или личный (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) опыт наставника должны соответствовать запросам наставляемого или наставляемых;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 Завершение персонализированной программы наставничества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Завершение персонализированной программы наставничества происходит в случае: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завершения плана мероприятий персонализированной программы наставничества в полном объеме;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инициативе наставника или наставляемого и/или обоюдному решению (по уважительным обстоятельствам);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Изменение сроков реализации персонализированной программы наставничества педагогических работников.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обоюдному согласию наставника и наставляемого/наставляемых педагогов возможно продление срока реализации персонализированной программы </w:t>
      </w:r>
      <w:r>
        <w:rPr>
          <w:sz w:val="28"/>
          <w:szCs w:val="28"/>
        </w:rPr>
        <w:lastRenderedPageBreak/>
        <w:t>наставничества или корректировка ее содержания (например, плана мероприятий, формы наставничества).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8. 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  <w:r>
        <w:rPr>
          <w:sz w:val="28"/>
          <w:szCs w:val="28"/>
        </w:rPr>
        <w:t>На сайте размещаются сведения о реализуемых персонализированных</w:t>
      </w:r>
    </w:p>
    <w:p w:rsidR="002A72A1" w:rsidRDefault="002A72A1" w:rsidP="002A72A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9. Заключительные положения </w:t>
      </w:r>
    </w:p>
    <w:p w:rsidR="002A72A1" w:rsidRDefault="002A72A1" w:rsidP="002A72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2A72A1" w:rsidRDefault="002A72A1" w:rsidP="002A72A1">
      <w:pPr>
        <w:pStyle w:val="Default"/>
        <w:jc w:val="both"/>
        <w:rPr>
          <w:b/>
          <w:lang w:eastAsia="ru-RU"/>
        </w:rPr>
      </w:pPr>
      <w:r>
        <w:rPr>
          <w:sz w:val="28"/>
          <w:szCs w:val="28"/>
        </w:rPr>
        <w:t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</w:t>
      </w:r>
    </w:p>
    <w:p w:rsidR="002A72A1" w:rsidRDefault="002A72A1" w:rsidP="002A72A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72A1" w:rsidRDefault="002A72A1" w:rsidP="002A72A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72A1" w:rsidRDefault="002A72A1" w:rsidP="002A72A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72A1" w:rsidRDefault="002A72A1" w:rsidP="002A72A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72A1" w:rsidRDefault="002A72A1" w:rsidP="002A72A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72A1" w:rsidRDefault="002A72A1">
      <w:bookmarkStart w:id="0" w:name="_GoBack"/>
      <w:bookmarkEnd w:id="0"/>
    </w:p>
    <w:sectPr w:rsidR="002A7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2A1"/>
    <w:rsid w:val="002A72A1"/>
    <w:rsid w:val="002B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03245"/>
  <w15:chartTrackingRefBased/>
  <w15:docId w15:val="{38E8D4D6-4BB6-41D3-95D1-D63A85C32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72A1"/>
    <w:pPr>
      <w:spacing w:after="0" w:line="240" w:lineRule="auto"/>
    </w:pPr>
  </w:style>
  <w:style w:type="paragraph" w:customStyle="1" w:styleId="Default">
    <w:name w:val="Default"/>
    <w:rsid w:val="002A72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3309</Words>
  <Characters>18862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2022-04-27T11:36:00Z</dcterms:created>
  <dcterms:modified xsi:type="dcterms:W3CDTF">2022-04-27T11:37:00Z</dcterms:modified>
</cp:coreProperties>
</file>